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1C" w:rsidRDefault="00F1441C" w:rsidP="006A7D78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070D71" w:rsidRDefault="00DB4A52" w:rsidP="00F1441C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/>
          <w:b/>
          <w:smallCaps/>
          <w:sz w:val="24"/>
          <w:szCs w:val="24"/>
        </w:rPr>
        <w:t>CdS</w:t>
      </w:r>
      <w:proofErr w:type="spellEnd"/>
      <w:r>
        <w:rPr>
          <w:rFonts w:ascii="Times New Roman" w:hAnsi="Times New Roman"/>
          <w:b/>
          <w:smallCaps/>
          <w:sz w:val="24"/>
          <w:szCs w:val="24"/>
        </w:rPr>
        <w:t xml:space="preserve"> Magistrale SAGE</w:t>
      </w:r>
      <w:r w:rsidR="00115834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F1441C" w:rsidRDefault="00F1441C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A7D78" w:rsidRDefault="00077C0D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Antropologia dei Patrimoni C</w:t>
      </w:r>
      <w:r w:rsidR="008073C5">
        <w:rPr>
          <w:rFonts w:ascii="Times New Roman" w:hAnsi="Times New Roman"/>
          <w:b/>
          <w:smallCaps/>
          <w:sz w:val="24"/>
          <w:szCs w:val="24"/>
        </w:rPr>
        <w:t>ulturali</w:t>
      </w:r>
    </w:p>
    <w:p w:rsidR="00115834" w:rsidRDefault="00115834" w:rsidP="0011583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a.a</w:t>
      </w:r>
      <w:proofErr w:type="spellEnd"/>
      <w:r>
        <w:rPr>
          <w:rFonts w:ascii="Times New Roman" w:hAnsi="Times New Roman"/>
          <w:b/>
          <w:sz w:val="24"/>
          <w:szCs w:val="24"/>
        </w:rPr>
        <w:t>. 201</w:t>
      </w:r>
      <w:r w:rsidR="00D0583F">
        <w:rPr>
          <w:rFonts w:ascii="Times New Roman" w:hAnsi="Times New Roman"/>
          <w:b/>
          <w:sz w:val="24"/>
          <w:szCs w:val="24"/>
        </w:rPr>
        <w:t>9</w:t>
      </w:r>
      <w:r w:rsidR="0073693F">
        <w:rPr>
          <w:rFonts w:ascii="Times New Roman" w:hAnsi="Times New Roman"/>
          <w:b/>
          <w:sz w:val="24"/>
          <w:szCs w:val="24"/>
        </w:rPr>
        <w:t>/20</w:t>
      </w:r>
      <w:r w:rsidR="00D0583F">
        <w:rPr>
          <w:rFonts w:ascii="Times New Roman" w:hAnsi="Times New Roman"/>
          <w:b/>
          <w:sz w:val="24"/>
          <w:szCs w:val="24"/>
        </w:rPr>
        <w:t>20</w:t>
      </w:r>
    </w:p>
    <w:p w:rsidR="006A7D78" w:rsidRDefault="006A7D78" w:rsidP="006A7D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441C" w:rsidRDefault="00F1441C" w:rsidP="006A7D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7D78" w:rsidRDefault="006A7D78" w:rsidP="006A7D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583F" w:rsidRDefault="008073C5" w:rsidP="008073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precisa che, con riferimento al programma, </w:t>
      </w:r>
      <w:r w:rsidR="003E6107">
        <w:rPr>
          <w:rFonts w:ascii="Times New Roman" w:hAnsi="Times New Roman"/>
          <w:sz w:val="24"/>
          <w:szCs w:val="24"/>
        </w:rPr>
        <w:t>i testi</w:t>
      </w:r>
      <w:r>
        <w:rPr>
          <w:rFonts w:ascii="Times New Roman" w:hAnsi="Times New Roman"/>
          <w:sz w:val="24"/>
          <w:szCs w:val="24"/>
        </w:rPr>
        <w:t xml:space="preserve"> da studiare obbligatoriamente in funzione </w:t>
      </w:r>
      <w:r w:rsidRPr="0073693F">
        <w:rPr>
          <w:rFonts w:ascii="Times New Roman" w:hAnsi="Times New Roman"/>
          <w:b/>
          <w:sz w:val="24"/>
          <w:szCs w:val="24"/>
        </w:rPr>
        <w:t>dell’esame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93F">
        <w:rPr>
          <w:rFonts w:ascii="Times New Roman" w:hAnsi="Times New Roman"/>
          <w:b/>
          <w:sz w:val="24"/>
          <w:szCs w:val="24"/>
        </w:rPr>
        <w:t xml:space="preserve">Antropologia dei </w:t>
      </w:r>
      <w:r w:rsidR="00077C0D" w:rsidRPr="0073693F">
        <w:rPr>
          <w:rFonts w:ascii="Times New Roman" w:hAnsi="Times New Roman"/>
          <w:b/>
          <w:sz w:val="24"/>
          <w:szCs w:val="24"/>
        </w:rPr>
        <w:t>P</w:t>
      </w:r>
      <w:r w:rsidRPr="0073693F">
        <w:rPr>
          <w:rFonts w:ascii="Times New Roman" w:hAnsi="Times New Roman"/>
          <w:b/>
          <w:sz w:val="24"/>
          <w:szCs w:val="24"/>
        </w:rPr>
        <w:t xml:space="preserve">atrimoni </w:t>
      </w:r>
      <w:r w:rsidR="00077C0D" w:rsidRPr="0073693F">
        <w:rPr>
          <w:rFonts w:ascii="Times New Roman" w:hAnsi="Times New Roman"/>
          <w:b/>
          <w:sz w:val="24"/>
          <w:szCs w:val="24"/>
        </w:rPr>
        <w:t>C</w:t>
      </w:r>
      <w:r w:rsidR="00F84DA5" w:rsidRPr="0073693F">
        <w:rPr>
          <w:rFonts w:ascii="Times New Roman" w:hAnsi="Times New Roman"/>
          <w:b/>
          <w:sz w:val="24"/>
          <w:szCs w:val="24"/>
        </w:rPr>
        <w:t>ulturali per l’</w:t>
      </w:r>
      <w:proofErr w:type="spellStart"/>
      <w:r w:rsidR="00F84DA5" w:rsidRPr="0073693F">
        <w:rPr>
          <w:rFonts w:ascii="Times New Roman" w:hAnsi="Times New Roman"/>
          <w:b/>
          <w:sz w:val="24"/>
          <w:szCs w:val="24"/>
        </w:rPr>
        <w:t>a.a</w:t>
      </w:r>
      <w:proofErr w:type="spellEnd"/>
      <w:r w:rsidR="00F84DA5" w:rsidRPr="0073693F">
        <w:rPr>
          <w:rFonts w:ascii="Times New Roman" w:hAnsi="Times New Roman"/>
          <w:b/>
          <w:sz w:val="24"/>
          <w:szCs w:val="24"/>
        </w:rPr>
        <w:t>. 20</w:t>
      </w:r>
      <w:r w:rsidR="003E6107">
        <w:rPr>
          <w:rFonts w:ascii="Times New Roman" w:hAnsi="Times New Roman"/>
          <w:b/>
          <w:sz w:val="24"/>
          <w:szCs w:val="24"/>
        </w:rPr>
        <w:t>20</w:t>
      </w:r>
      <w:r w:rsidRPr="0073693F">
        <w:rPr>
          <w:rFonts w:ascii="Times New Roman" w:hAnsi="Times New Roman"/>
          <w:b/>
          <w:sz w:val="24"/>
          <w:szCs w:val="24"/>
        </w:rPr>
        <w:t>-20</w:t>
      </w:r>
      <w:r w:rsidR="00D0583F">
        <w:rPr>
          <w:rFonts w:ascii="Times New Roman" w:hAnsi="Times New Roman"/>
          <w:b/>
          <w:sz w:val="24"/>
          <w:szCs w:val="24"/>
        </w:rPr>
        <w:t>2</w:t>
      </w:r>
      <w:r w:rsidR="003E610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sono </w:t>
      </w:r>
      <w:r w:rsidR="003E610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seguenti:</w:t>
      </w:r>
    </w:p>
    <w:p w:rsidR="00D0583F" w:rsidRDefault="00D0583F" w:rsidP="008073C5">
      <w:pPr>
        <w:jc w:val="both"/>
        <w:rPr>
          <w:rFonts w:ascii="Times New Roman" w:hAnsi="Times New Roman"/>
          <w:sz w:val="24"/>
          <w:szCs w:val="24"/>
        </w:rPr>
      </w:pPr>
    </w:p>
    <w:p w:rsidR="008073C5" w:rsidRDefault="008073C5" w:rsidP="008073C5">
      <w:pPr>
        <w:jc w:val="both"/>
        <w:rPr>
          <w:rFonts w:ascii="Times New Roman" w:hAnsi="Times New Roman"/>
          <w:sz w:val="24"/>
          <w:szCs w:val="24"/>
        </w:rPr>
      </w:pPr>
    </w:p>
    <w:p w:rsidR="00D0583F" w:rsidRDefault="00D0583F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Style w:val="main111"/>
          <w:rFonts w:ascii="Times New Roman" w:hAnsi="Times New Roman"/>
          <w:color w:val="auto"/>
          <w:sz w:val="24"/>
          <w:szCs w:val="24"/>
        </w:rPr>
      </w:pPr>
      <w:r w:rsidRPr="003E6107">
        <w:rPr>
          <w:rStyle w:val="Enfasigrassetto"/>
          <w:rFonts w:ascii="Times New Roman" w:eastAsia="Calibri" w:hAnsi="Times New Roman"/>
          <w:b w:val="0"/>
          <w:i/>
          <w:sz w:val="24"/>
          <w:szCs w:val="24"/>
          <w:shd w:val="clear" w:color="auto" w:fill="FFFFFF"/>
        </w:rPr>
        <w:t>Beni immateriali. La Convenzione Unesco e il folklore</w:t>
      </w:r>
      <w:r w:rsidRPr="003E6107">
        <w:rPr>
          <w:rStyle w:val="Enfasigrassetto"/>
          <w:rFonts w:ascii="Times New Roman" w:eastAsia="Calibri" w:hAnsi="Times New Roman"/>
          <w:b w:val="0"/>
          <w:sz w:val="24"/>
          <w:szCs w:val="24"/>
          <w:shd w:val="clear" w:color="auto" w:fill="FFFFFF"/>
        </w:rPr>
        <w:t xml:space="preserve">, </w:t>
      </w:r>
      <w:r w:rsidRPr="003E6107">
        <w:rPr>
          <w:rStyle w:val="main111"/>
          <w:rFonts w:ascii="Times New Roman" w:hAnsi="Times New Roman"/>
          <w:color w:val="auto"/>
          <w:sz w:val="24"/>
          <w:szCs w:val="24"/>
        </w:rPr>
        <w:t>«La Ricerca Folklorica», n. 64, 2011</w:t>
      </w:r>
      <w:r w:rsidR="003E6107" w:rsidRPr="003E6107">
        <w:rPr>
          <w:rStyle w:val="main111"/>
          <w:rFonts w:ascii="Times New Roman" w:hAnsi="Times New Roman"/>
          <w:color w:val="auto"/>
          <w:sz w:val="24"/>
          <w:szCs w:val="24"/>
        </w:rPr>
        <w:t>:</w:t>
      </w:r>
      <w:r w:rsidR="003E6107">
        <w:rPr>
          <w:rStyle w:val="main111"/>
          <w:rFonts w:ascii="Times New Roman" w:hAnsi="Times New Roman"/>
          <w:color w:val="auto"/>
          <w:sz w:val="24"/>
          <w:szCs w:val="24"/>
        </w:rPr>
        <w:t xml:space="preserve"> almeno</w:t>
      </w:r>
      <w:r w:rsidRPr="003E6107">
        <w:rPr>
          <w:rStyle w:val="main111"/>
          <w:rFonts w:ascii="Times New Roman" w:hAnsi="Times New Roman"/>
          <w:color w:val="auto"/>
          <w:sz w:val="24"/>
          <w:szCs w:val="24"/>
        </w:rPr>
        <w:t xml:space="preserve"> i saggi di C. </w:t>
      </w:r>
      <w:proofErr w:type="spellStart"/>
      <w:r w:rsidRPr="003E6107">
        <w:rPr>
          <w:rStyle w:val="main111"/>
          <w:rFonts w:ascii="Times New Roman" w:hAnsi="Times New Roman"/>
          <w:color w:val="auto"/>
          <w:sz w:val="24"/>
          <w:szCs w:val="24"/>
        </w:rPr>
        <w:t>Bortolotto</w:t>
      </w:r>
      <w:proofErr w:type="spellEnd"/>
      <w:r w:rsidRPr="003E6107">
        <w:rPr>
          <w:rStyle w:val="main111"/>
          <w:rFonts w:ascii="Times New Roman" w:hAnsi="Times New Roman"/>
          <w:color w:val="auto"/>
          <w:sz w:val="24"/>
          <w:szCs w:val="24"/>
        </w:rPr>
        <w:t xml:space="preserve">, </w:t>
      </w:r>
      <w:r w:rsidRPr="003E6107">
        <w:rPr>
          <w:rStyle w:val="main111"/>
          <w:rFonts w:ascii="Times New Roman" w:hAnsi="Times New Roman"/>
          <w:i/>
          <w:color w:val="auto"/>
          <w:sz w:val="24"/>
          <w:szCs w:val="24"/>
        </w:rPr>
        <w:t xml:space="preserve">Patrimonio immateriale e autenticità: una relazione indissolubile </w:t>
      </w:r>
      <w:r w:rsidRPr="003E6107">
        <w:rPr>
          <w:rStyle w:val="main111"/>
          <w:rFonts w:ascii="Times New Roman" w:hAnsi="Times New Roman"/>
          <w:color w:val="auto"/>
          <w:sz w:val="24"/>
          <w:szCs w:val="24"/>
        </w:rPr>
        <w:t xml:space="preserve">(pp. 7-17) e di L. Mariotti, </w:t>
      </w:r>
      <w:r w:rsidRPr="003E6107">
        <w:rPr>
          <w:rStyle w:val="main111"/>
          <w:rFonts w:ascii="Times New Roman" w:hAnsi="Times New Roman"/>
          <w:i/>
          <w:color w:val="auto"/>
          <w:sz w:val="24"/>
          <w:szCs w:val="24"/>
        </w:rPr>
        <w:t xml:space="preserve">Patrimonio culturale </w:t>
      </w:r>
      <w:proofErr w:type="spellStart"/>
      <w:r w:rsidRPr="003E6107">
        <w:rPr>
          <w:rStyle w:val="main111"/>
          <w:rFonts w:ascii="Times New Roman" w:hAnsi="Times New Roman"/>
          <w:i/>
          <w:color w:val="auto"/>
          <w:sz w:val="24"/>
          <w:szCs w:val="24"/>
        </w:rPr>
        <w:t>immmateriale</w:t>
      </w:r>
      <w:proofErr w:type="spellEnd"/>
      <w:r w:rsidRPr="003E6107">
        <w:rPr>
          <w:rStyle w:val="main111"/>
          <w:rFonts w:ascii="Times New Roman" w:hAnsi="Times New Roman"/>
          <w:i/>
          <w:color w:val="auto"/>
          <w:sz w:val="24"/>
          <w:szCs w:val="24"/>
        </w:rPr>
        <w:t xml:space="preserve">: un prodotto </w:t>
      </w:r>
      <w:proofErr w:type="spellStart"/>
      <w:r w:rsidRPr="003E6107">
        <w:rPr>
          <w:rStyle w:val="main111"/>
          <w:rFonts w:ascii="Times New Roman" w:hAnsi="Times New Roman"/>
          <w:i/>
          <w:color w:val="auto"/>
          <w:sz w:val="24"/>
          <w:szCs w:val="24"/>
        </w:rPr>
        <w:t>metaculturale</w:t>
      </w:r>
      <w:proofErr w:type="spellEnd"/>
      <w:r w:rsidRPr="003E6107">
        <w:rPr>
          <w:rStyle w:val="main111"/>
          <w:rFonts w:ascii="Times New Roman" w:hAnsi="Times New Roman"/>
          <w:color w:val="auto"/>
          <w:sz w:val="24"/>
          <w:szCs w:val="24"/>
        </w:rPr>
        <w:t xml:space="preserve"> (pp. 19-25).</w:t>
      </w:r>
    </w:p>
    <w:p w:rsidR="003E6107" w:rsidRDefault="003E6107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Fonts w:ascii="Times New Roman" w:hAnsi="Times New Roman"/>
          <w:sz w:val="24"/>
          <w:szCs w:val="24"/>
        </w:rPr>
      </w:pPr>
    </w:p>
    <w:p w:rsidR="003E6107" w:rsidRDefault="003E6107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«Antropologia Museale», X, n. 28-29, 2011</w:t>
      </w:r>
      <w:r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: almeno il saggio di A. Broccolini, </w:t>
      </w:r>
      <w:r>
        <w:rPr>
          <w:rFonts w:ascii="Times New Roman" w:hAnsi="Times New Roman"/>
          <w:i/>
          <w:color w:val="383838"/>
          <w:sz w:val="24"/>
          <w:szCs w:val="24"/>
          <w:shd w:val="clear" w:color="auto" w:fill="FFFFFF"/>
        </w:rPr>
        <w:t>L’UNESCO e gli inventari del patrimonio immateriale in Italia</w:t>
      </w:r>
      <w:r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(pp. 41-51).</w:t>
      </w:r>
    </w:p>
    <w:p w:rsidR="003E6107" w:rsidRDefault="003E6107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</w:p>
    <w:p w:rsidR="003E6107" w:rsidRDefault="003E6107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Lia Giancristofaro, Valentina </w:t>
      </w:r>
      <w:proofErr w:type="spellStart"/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Lapiccirella</w:t>
      </w:r>
      <w:proofErr w:type="spellEnd"/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Zingari, </w:t>
      </w:r>
      <w:r w:rsidRPr="003E6107">
        <w:rPr>
          <w:rFonts w:ascii="Times New Roman" w:hAnsi="Times New Roman"/>
          <w:i/>
          <w:iCs/>
          <w:color w:val="383838"/>
          <w:sz w:val="24"/>
          <w:szCs w:val="24"/>
          <w:shd w:val="clear" w:color="auto" w:fill="FFFFFF"/>
        </w:rPr>
        <w:t>Patrimonio culturale immateriale e società civile</w:t>
      </w:r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, Roma, </w:t>
      </w:r>
      <w:proofErr w:type="spellStart"/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Aracne</w:t>
      </w:r>
      <w:proofErr w:type="spellEnd"/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, 2020</w:t>
      </w:r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(per intero)</w:t>
      </w:r>
      <w:r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.</w:t>
      </w:r>
    </w:p>
    <w:p w:rsidR="003E6107" w:rsidRDefault="003E6107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</w:p>
    <w:p w:rsidR="003E6107" w:rsidRPr="003E6107" w:rsidRDefault="003E6107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Fonts w:ascii="Times New Roman" w:hAnsi="Times New Roman"/>
          <w:sz w:val="24"/>
          <w:szCs w:val="24"/>
        </w:rPr>
      </w:pPr>
      <w:r w:rsidRPr="003E6107">
        <w:rPr>
          <w:rFonts w:ascii="Times New Roman" w:hAnsi="Times New Roman"/>
          <w:i/>
          <w:iCs/>
          <w:color w:val="383838"/>
          <w:sz w:val="24"/>
          <w:szCs w:val="24"/>
          <w:shd w:val="clear" w:color="auto" w:fill="FFFFFF"/>
        </w:rPr>
        <w:t>Carnevali del XXI secolo</w:t>
      </w:r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, «Archivio di Etnografia», </w:t>
      </w:r>
      <w:proofErr w:type="spellStart"/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n.s.</w:t>
      </w:r>
      <w:proofErr w:type="spellEnd"/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, XI, n. 1-2, 2016</w:t>
      </w:r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almeno i saggi di P. Clemente, </w:t>
      </w:r>
      <w:r>
        <w:rPr>
          <w:rFonts w:ascii="Times New Roman" w:hAnsi="Times New Roman"/>
          <w:i/>
          <w:color w:val="383838"/>
          <w:sz w:val="24"/>
          <w:szCs w:val="24"/>
          <w:shd w:val="clear" w:color="auto" w:fill="FFFFFF"/>
        </w:rPr>
        <w:t>Carnevali indigeni del XXI secolo</w:t>
      </w:r>
      <w:r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(pp. 17-28); F. Mirizzi, </w:t>
      </w:r>
      <w:r>
        <w:rPr>
          <w:rFonts w:ascii="Times New Roman" w:hAnsi="Times New Roman"/>
          <w:i/>
          <w:color w:val="383838"/>
          <w:sz w:val="24"/>
          <w:szCs w:val="24"/>
          <w:shd w:val="clear" w:color="auto" w:fill="FFFFFF"/>
        </w:rPr>
        <w:t>I Carnevali contemporanei e il rapporto con la tradizione</w:t>
      </w:r>
      <w:r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(pp. 35-46); S. Ferracuti, </w:t>
      </w:r>
      <w:r>
        <w:rPr>
          <w:rFonts w:ascii="Times New Roman" w:hAnsi="Times New Roman"/>
          <w:i/>
          <w:color w:val="383838"/>
          <w:sz w:val="24"/>
          <w:szCs w:val="24"/>
          <w:shd w:val="clear" w:color="auto" w:fill="FFFFFF"/>
        </w:rPr>
        <w:t>Carnevali e “riti di paesaggio”</w:t>
      </w:r>
      <w:r w:rsidR="00317288">
        <w:rPr>
          <w:rFonts w:ascii="Times New Roman" w:hAnsi="Times New Roman"/>
          <w:i/>
          <w:color w:val="383838"/>
          <w:sz w:val="24"/>
          <w:szCs w:val="24"/>
          <w:shd w:val="clear" w:color="auto" w:fill="FFFFFF"/>
        </w:rPr>
        <w:t xml:space="preserve"> a Satriano di Lucania</w:t>
      </w:r>
      <w:r w:rsidR="00317288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(pp. 47-66).</w:t>
      </w:r>
      <w:r w:rsidRPr="003E6107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</w:p>
    <w:p w:rsidR="003E6107" w:rsidRPr="003E6107" w:rsidRDefault="003E6107" w:rsidP="00D0583F">
      <w:pPr>
        <w:framePr w:hSpace="141" w:wrap="around" w:vAnchor="text" w:hAnchor="text" w:y="-184"/>
        <w:tabs>
          <w:tab w:val="left" w:pos="8820"/>
        </w:tabs>
        <w:ind w:left="284" w:hanging="284"/>
        <w:suppressOverlap/>
        <w:jc w:val="both"/>
        <w:rPr>
          <w:rFonts w:ascii="Times New Roman" w:hAnsi="Times New Roman"/>
          <w:sz w:val="24"/>
          <w:szCs w:val="24"/>
        </w:rPr>
      </w:pPr>
    </w:p>
    <w:p w:rsidR="001E5232" w:rsidRDefault="001E5232" w:rsidP="00EA1700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Si </w:t>
      </w:r>
      <w:r w:rsidR="00317288">
        <w:rPr>
          <w:rFonts w:ascii="Times New Roman" w:hAnsi="Times New Roman"/>
        </w:rPr>
        <w:t>richiede</w:t>
      </w:r>
      <w:r>
        <w:rPr>
          <w:rFonts w:ascii="Times New Roman" w:hAnsi="Times New Roman"/>
        </w:rPr>
        <w:t>, inoltre,</w:t>
      </w:r>
      <w:r w:rsidR="00CA5A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la </w:t>
      </w:r>
      <w:r w:rsidR="00317288">
        <w:rPr>
          <w:rFonts w:ascii="Times New Roman" w:hAnsi="Times New Roman"/>
        </w:rPr>
        <w:t>conoscenza</w:t>
      </w:r>
      <w:r>
        <w:rPr>
          <w:rFonts w:ascii="Times New Roman" w:hAnsi="Times New Roman"/>
        </w:rPr>
        <w:t xml:space="preserve"> della </w:t>
      </w:r>
      <w:r w:rsidRPr="00317288">
        <w:rPr>
          <w:rStyle w:val="Enfasicorsivo"/>
          <w:rFonts w:ascii="Times New Roman" w:hAnsi="Times New Roman"/>
          <w:bCs/>
          <w:iCs w:val="0"/>
          <w:shd w:val="clear" w:color="auto" w:fill="FFFFFF"/>
        </w:rPr>
        <w:t>Convenzione</w:t>
      </w:r>
      <w:r w:rsidRPr="00317288">
        <w:rPr>
          <w:rFonts w:ascii="Times New Roman" w:hAnsi="Times New Roman"/>
          <w:i/>
          <w:shd w:val="clear" w:color="auto" w:fill="FFFFFF"/>
        </w:rPr>
        <w:t> per la salvaguardia del patrimonio culturale immateriale</w:t>
      </w:r>
      <w:r w:rsidR="00CA5AEB">
        <w:rPr>
          <w:rFonts w:ascii="Times New Roman" w:hAnsi="Times New Roman"/>
          <w:shd w:val="clear" w:color="auto" w:fill="FFFFFF"/>
        </w:rPr>
        <w:t xml:space="preserve"> dell’Unesco del 2003 e </w:t>
      </w:r>
      <w:r w:rsidR="00317288">
        <w:rPr>
          <w:rFonts w:ascii="Times New Roman" w:hAnsi="Times New Roman"/>
          <w:shd w:val="clear" w:color="auto" w:fill="FFFFFF"/>
        </w:rPr>
        <w:t>del</w:t>
      </w:r>
      <w:r w:rsidR="00CA5AEB">
        <w:rPr>
          <w:rFonts w:ascii="Times New Roman" w:hAnsi="Times New Roman"/>
          <w:shd w:val="clear" w:color="auto" w:fill="FFFFFF"/>
        </w:rPr>
        <w:t>la Convenzione di Faro del 2005 (</w:t>
      </w:r>
      <w:hyperlink r:id="rId6" w:history="1">
        <w:r w:rsidR="00CA5AEB" w:rsidRPr="00317288">
          <w:rPr>
            <w:rStyle w:val="Collegamentoipertestuale"/>
            <w:i/>
            <w:color w:val="auto"/>
            <w:szCs w:val="22"/>
            <w:u w:val="none"/>
          </w:rPr>
          <w:t>Convenzione quadro del Consiglio d'Europa sul valore del patrimonio culturale per la società</w:t>
        </w:r>
      </w:hyperlink>
      <w:r w:rsidR="00CA5AEB">
        <w:rPr>
          <w:rFonts w:ascii="Times New Roman" w:hAnsi="Times New Roman"/>
          <w:szCs w:val="22"/>
        </w:rPr>
        <w:t>).</w:t>
      </w:r>
    </w:p>
    <w:p w:rsidR="00150A0E" w:rsidRDefault="00150A0E" w:rsidP="00EA1700">
      <w:pPr>
        <w:jc w:val="both"/>
        <w:rPr>
          <w:rFonts w:ascii="Times New Roman" w:hAnsi="Times New Roman"/>
          <w:szCs w:val="22"/>
        </w:rPr>
      </w:pPr>
    </w:p>
    <w:p w:rsidR="008073C5" w:rsidRDefault="008073C5" w:rsidP="008073C5">
      <w:pPr>
        <w:jc w:val="both"/>
        <w:rPr>
          <w:rFonts w:ascii="Times New Roman" w:hAnsi="Times New Roman"/>
          <w:sz w:val="24"/>
          <w:szCs w:val="24"/>
        </w:rPr>
      </w:pPr>
    </w:p>
    <w:p w:rsidR="008073C5" w:rsidRDefault="00DF0B99" w:rsidP="008073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8073C5">
        <w:rPr>
          <w:rFonts w:ascii="Times New Roman" w:hAnsi="Times New Roman"/>
          <w:sz w:val="24"/>
          <w:szCs w:val="24"/>
        </w:rPr>
        <w:t>Il docente</w:t>
      </w:r>
    </w:p>
    <w:p w:rsidR="00E636B8" w:rsidRPr="00E636B8" w:rsidRDefault="008073C5" w:rsidP="008073C5">
      <w:pPr>
        <w:ind w:firstLine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DF0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F.to Prof. Ferdinando F. Mirizzi</w:t>
      </w:r>
    </w:p>
    <w:p w:rsidR="006E1ED4" w:rsidRPr="006E1ED4" w:rsidRDefault="006E1ED4" w:rsidP="005A2265">
      <w:pPr>
        <w:ind w:left="284" w:hanging="284"/>
        <w:jc w:val="both"/>
        <w:rPr>
          <w:rFonts w:ascii="Times New Roman" w:hAnsi="Times New Roman"/>
        </w:rPr>
      </w:pPr>
    </w:p>
    <w:p w:rsidR="005A2265" w:rsidRPr="002821E5" w:rsidRDefault="005A2265" w:rsidP="00070D71">
      <w:pPr>
        <w:ind w:left="284" w:hanging="284"/>
        <w:jc w:val="both"/>
        <w:rPr>
          <w:rFonts w:ascii="Times New Roman" w:hAnsi="Times New Roman"/>
          <w:b/>
          <w:bCs/>
          <w:szCs w:val="22"/>
        </w:rPr>
      </w:pPr>
    </w:p>
    <w:p w:rsidR="00070D71" w:rsidRPr="002821E5" w:rsidRDefault="00070D71" w:rsidP="006A7D78">
      <w:pPr>
        <w:ind w:left="284" w:hanging="284"/>
        <w:rPr>
          <w:rFonts w:ascii="Times New Roman" w:hAnsi="Times New Roman"/>
          <w:i/>
        </w:rPr>
      </w:pPr>
    </w:p>
    <w:p w:rsidR="00070D71" w:rsidRPr="002821E5" w:rsidRDefault="00070D71" w:rsidP="006A7D78">
      <w:pPr>
        <w:ind w:left="284" w:hanging="284"/>
        <w:rPr>
          <w:rFonts w:ascii="Times New Roman" w:hAnsi="Times New Roman"/>
          <w:i/>
        </w:rPr>
      </w:pPr>
    </w:p>
    <w:p w:rsidR="005260A6" w:rsidRDefault="005260A6" w:rsidP="006A7D78"/>
    <w:sectPr w:rsidR="005260A6" w:rsidSect="00DF0B9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15A"/>
    <w:multiLevelType w:val="hybridMultilevel"/>
    <w:tmpl w:val="F360302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0F47C8"/>
    <w:multiLevelType w:val="hybridMultilevel"/>
    <w:tmpl w:val="342ABAE0"/>
    <w:lvl w:ilvl="0" w:tplc="874CF2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35120"/>
    <w:multiLevelType w:val="hybridMultilevel"/>
    <w:tmpl w:val="96EAFBDE"/>
    <w:lvl w:ilvl="0" w:tplc="C2FE11A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8"/>
    <w:rsid w:val="00032798"/>
    <w:rsid w:val="00070D71"/>
    <w:rsid w:val="00077C0D"/>
    <w:rsid w:val="000B2C64"/>
    <w:rsid w:val="00115834"/>
    <w:rsid w:val="00137917"/>
    <w:rsid w:val="00150A0E"/>
    <w:rsid w:val="001B1C9E"/>
    <w:rsid w:val="001E5232"/>
    <w:rsid w:val="00206730"/>
    <w:rsid w:val="00220765"/>
    <w:rsid w:val="002821E5"/>
    <w:rsid w:val="00317288"/>
    <w:rsid w:val="003E6107"/>
    <w:rsid w:val="00506E29"/>
    <w:rsid w:val="00522042"/>
    <w:rsid w:val="005260A6"/>
    <w:rsid w:val="005A2265"/>
    <w:rsid w:val="00673F26"/>
    <w:rsid w:val="006A7D78"/>
    <w:rsid w:val="006E1ED4"/>
    <w:rsid w:val="0073693F"/>
    <w:rsid w:val="0074631C"/>
    <w:rsid w:val="007E4530"/>
    <w:rsid w:val="008073C5"/>
    <w:rsid w:val="009F4980"/>
    <w:rsid w:val="00A25626"/>
    <w:rsid w:val="00B75D8A"/>
    <w:rsid w:val="00C93C3F"/>
    <w:rsid w:val="00CA5AEB"/>
    <w:rsid w:val="00D0583F"/>
    <w:rsid w:val="00D43BB6"/>
    <w:rsid w:val="00DB4A52"/>
    <w:rsid w:val="00DF0B99"/>
    <w:rsid w:val="00E636B8"/>
    <w:rsid w:val="00EA1700"/>
    <w:rsid w:val="00EC622E"/>
    <w:rsid w:val="00F1441C"/>
    <w:rsid w:val="00F84DA5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D7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E5232"/>
    <w:pPr>
      <w:keepNext/>
      <w:widowControl w:val="0"/>
      <w:spacing w:line="300" w:lineRule="exact"/>
      <w:ind w:left="360"/>
      <w:jc w:val="both"/>
      <w:outlineLvl w:val="4"/>
    </w:pPr>
    <w:rPr>
      <w:rFonts w:cs="Arial"/>
      <w:b/>
      <w:bCs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D78"/>
    <w:rPr>
      <w:rFonts w:ascii="Times New Roman" w:hAnsi="Times New Roman" w:cs="Times New Roman" w:hint="default"/>
      <w:color w:val="0000FF"/>
      <w:u w:val="single"/>
    </w:rPr>
  </w:style>
  <w:style w:type="character" w:customStyle="1" w:styleId="titoloschedalibro">
    <w:name w:val="titoloschedalibro"/>
    <w:rsid w:val="006A7D78"/>
  </w:style>
  <w:style w:type="character" w:customStyle="1" w:styleId="main111">
    <w:name w:val="main111"/>
    <w:basedOn w:val="Carpredefinitoparagrafo"/>
    <w:rsid w:val="006A7D78"/>
    <w:rPr>
      <w:rFonts w:ascii="Verdana" w:hAnsi="Verdana"/>
      <w:color w:val="333333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E636B8"/>
    <w:rPr>
      <w:b/>
      <w:bCs/>
    </w:rPr>
  </w:style>
  <w:style w:type="paragraph" w:styleId="Paragrafoelenco">
    <w:name w:val="List Paragraph"/>
    <w:basedOn w:val="Normale"/>
    <w:uiPriority w:val="34"/>
    <w:qFormat/>
    <w:rsid w:val="00E636B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32798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1E5232"/>
    <w:rPr>
      <w:rFonts w:ascii="Arial" w:eastAsia="Times New Roman" w:hAnsi="Arial" w:cs="Arial"/>
      <w:b/>
      <w:bCs/>
      <w:szCs w:val="24"/>
      <w:u w:val="singl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D7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E5232"/>
    <w:pPr>
      <w:keepNext/>
      <w:widowControl w:val="0"/>
      <w:spacing w:line="300" w:lineRule="exact"/>
      <w:ind w:left="360"/>
      <w:jc w:val="both"/>
      <w:outlineLvl w:val="4"/>
    </w:pPr>
    <w:rPr>
      <w:rFonts w:cs="Arial"/>
      <w:b/>
      <w:bCs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D78"/>
    <w:rPr>
      <w:rFonts w:ascii="Times New Roman" w:hAnsi="Times New Roman" w:cs="Times New Roman" w:hint="default"/>
      <w:color w:val="0000FF"/>
      <w:u w:val="single"/>
    </w:rPr>
  </w:style>
  <w:style w:type="character" w:customStyle="1" w:styleId="titoloschedalibro">
    <w:name w:val="titoloschedalibro"/>
    <w:rsid w:val="006A7D78"/>
  </w:style>
  <w:style w:type="character" w:customStyle="1" w:styleId="main111">
    <w:name w:val="main111"/>
    <w:basedOn w:val="Carpredefinitoparagrafo"/>
    <w:rsid w:val="006A7D78"/>
    <w:rPr>
      <w:rFonts w:ascii="Verdana" w:hAnsi="Verdana"/>
      <w:color w:val="333333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E636B8"/>
    <w:rPr>
      <w:b/>
      <w:bCs/>
    </w:rPr>
  </w:style>
  <w:style w:type="paragraph" w:styleId="Paragrafoelenco">
    <w:name w:val="List Paragraph"/>
    <w:basedOn w:val="Normale"/>
    <w:uiPriority w:val="34"/>
    <w:qFormat/>
    <w:rsid w:val="00E636B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32798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1E5232"/>
    <w:rPr>
      <w:rFonts w:ascii="Arial" w:eastAsia="Times New Roman" w:hAnsi="Arial" w:cs="Arial"/>
      <w:b/>
      <w:bCs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ventions.coe.int/Treaty/Commun/QueVoulezVous.asp?CL=ITA&amp;CM=8&amp;NT=1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F. Mirizzi</dc:creator>
  <cp:lastModifiedBy>Prof. F. Mirizzi</cp:lastModifiedBy>
  <cp:revision>5</cp:revision>
  <dcterms:created xsi:type="dcterms:W3CDTF">2020-12-25T18:45:00Z</dcterms:created>
  <dcterms:modified xsi:type="dcterms:W3CDTF">2020-12-25T19:18:00Z</dcterms:modified>
</cp:coreProperties>
</file>